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461" w:rsidRDefault="001D4461" w:rsidP="001D4461">
      <w:pPr>
        <w:pStyle w:val="Title"/>
        <w:jc w:val="center"/>
        <w:rPr>
          <w:b/>
          <w:sz w:val="48"/>
          <w:szCs w:val="48"/>
        </w:rPr>
      </w:pPr>
      <w:r w:rsidRPr="001D4461">
        <w:rPr>
          <w:b/>
          <w:sz w:val="48"/>
          <w:szCs w:val="48"/>
        </w:rPr>
        <w:t xml:space="preserve">Grade 4: Launching Reading and Writing Workshops: </w:t>
      </w:r>
      <w:r w:rsidRPr="001D4461">
        <w:rPr>
          <w:b/>
          <w:i/>
          <w:iCs/>
          <w:sz w:val="48"/>
          <w:szCs w:val="48"/>
        </w:rPr>
        <w:t>The First 20 Days</w:t>
      </w:r>
    </w:p>
    <w:p w:rsidR="001D4461" w:rsidRPr="001D4461" w:rsidRDefault="001D4461" w:rsidP="001D4461"/>
    <w:tbl>
      <w:tblPr>
        <w:tblStyle w:val="GridTable3"/>
        <w:tblW w:w="14665" w:type="dxa"/>
        <w:tblLayout w:type="fixed"/>
        <w:tblLook w:val="0000" w:firstRow="0" w:lastRow="0" w:firstColumn="0" w:lastColumn="0" w:noHBand="0" w:noVBand="0"/>
      </w:tblPr>
      <w:tblGrid>
        <w:gridCol w:w="1975"/>
        <w:gridCol w:w="12690"/>
      </w:tblGrid>
      <w:tr w:rsidR="00900D81" w:rsidRPr="00900D81" w:rsidTr="0002321B">
        <w:trPr>
          <w:cnfStyle w:val="000000100000" w:firstRow="0" w:lastRow="0" w:firstColumn="0" w:lastColumn="0" w:oddVBand="0" w:evenVBand="0" w:oddHBand="1" w:evenHBand="0" w:firstRowFirstColumn="0" w:firstRowLastColumn="0" w:lastRowFirstColumn="0" w:lastRowLastColumn="0"/>
          <w:trHeight w:val="226"/>
        </w:trPr>
        <w:tc>
          <w:tcPr>
            <w:cnfStyle w:val="000010000000" w:firstRow="0" w:lastRow="0" w:firstColumn="0" w:lastColumn="0" w:oddVBand="1" w:evenVBand="0" w:oddHBand="0" w:evenHBand="0" w:firstRowFirstColumn="0" w:firstRowLastColumn="0" w:lastRowFirstColumn="0" w:lastRowLastColumn="0"/>
            <w:tcW w:w="1975" w:type="dxa"/>
          </w:tcPr>
          <w:p w:rsidR="00900D81" w:rsidRPr="00900D81" w:rsidRDefault="00900D81" w:rsidP="00900D81">
            <w:pPr>
              <w:autoSpaceDE w:val="0"/>
              <w:autoSpaceDN w:val="0"/>
              <w:adjustRightInd w:val="0"/>
              <w:rPr>
                <w:rFonts w:ascii="Calibri" w:hAnsi="Calibri" w:cs="Calibri"/>
                <w:color w:val="000000"/>
                <w:sz w:val="28"/>
                <w:szCs w:val="28"/>
              </w:rPr>
            </w:pPr>
            <w:r w:rsidRPr="00900D81">
              <w:rPr>
                <w:rFonts w:ascii="Calibri" w:hAnsi="Calibri" w:cs="Calibri"/>
                <w:b/>
                <w:bCs/>
                <w:color w:val="000000"/>
                <w:sz w:val="28"/>
                <w:szCs w:val="28"/>
              </w:rPr>
              <w:t xml:space="preserve">Essential Questions </w:t>
            </w:r>
          </w:p>
        </w:tc>
        <w:tc>
          <w:tcPr>
            <w:tcW w:w="12690" w:type="dxa"/>
            <w:shd w:val="clear" w:color="auto" w:fill="auto"/>
          </w:tcPr>
          <w:p w:rsidR="00900D81" w:rsidRPr="00900D81" w:rsidRDefault="00900D81" w:rsidP="00900D8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sz w:val="28"/>
                <w:szCs w:val="28"/>
              </w:rPr>
            </w:pPr>
          </w:p>
          <w:p w:rsidR="00900D81" w:rsidRPr="00EE1CFC" w:rsidRDefault="00900D81" w:rsidP="00793464">
            <w:pPr>
              <w:pStyle w:val="ListParagraph"/>
              <w:numPr>
                <w:ilvl w:val="0"/>
                <w:numId w:val="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What does it mean to read between the lines? </w:t>
            </w:r>
          </w:p>
          <w:p w:rsidR="00900D81" w:rsidRPr="00EE1CFC" w:rsidRDefault="00900D81" w:rsidP="00793464">
            <w:pPr>
              <w:pStyle w:val="ListParagraph"/>
              <w:numPr>
                <w:ilvl w:val="0"/>
                <w:numId w:val="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How do writers use small moments to develop interesting characters? </w:t>
            </w:r>
          </w:p>
          <w:p w:rsidR="00900D81" w:rsidRPr="00900D81" w:rsidRDefault="00900D81" w:rsidP="00900D8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r>
      <w:tr w:rsidR="00900D81" w:rsidRPr="00900D81" w:rsidTr="00EE1CFC">
        <w:trPr>
          <w:trHeight w:val="1076"/>
        </w:trPr>
        <w:tc>
          <w:tcPr>
            <w:cnfStyle w:val="000010000000" w:firstRow="0" w:lastRow="0" w:firstColumn="0" w:lastColumn="0" w:oddVBand="1" w:evenVBand="0" w:oddHBand="0" w:evenHBand="0" w:firstRowFirstColumn="0" w:firstRowLastColumn="0" w:lastRowFirstColumn="0" w:lastRowLastColumn="0"/>
            <w:tcW w:w="1975" w:type="dxa"/>
          </w:tcPr>
          <w:p w:rsidR="00900D81" w:rsidRPr="00900D81" w:rsidRDefault="00EE1CFC" w:rsidP="00900D81">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Essential Learning Goals: CCLS</w:t>
            </w:r>
          </w:p>
        </w:tc>
        <w:tc>
          <w:tcPr>
            <w:tcW w:w="12690" w:type="dxa"/>
          </w:tcPr>
          <w:p w:rsidR="00900D81" w:rsidRPr="00900D81" w:rsidRDefault="00900D81" w:rsidP="00900D8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900D81">
              <w:rPr>
                <w:rFonts w:ascii="Calibri" w:hAnsi="Calibri" w:cs="Calibri"/>
                <w:b/>
                <w:bCs/>
                <w:color w:val="000000"/>
                <w:sz w:val="28"/>
                <w:szCs w:val="28"/>
              </w:rPr>
              <w:t xml:space="preserve">Reading: Literature </w:t>
            </w:r>
          </w:p>
          <w:p w:rsidR="00900D81" w:rsidRPr="00900D81" w:rsidRDefault="00900D81" w:rsidP="00900D8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900D81">
              <w:rPr>
                <w:rFonts w:ascii="Calibri" w:hAnsi="Calibri" w:cs="Calibri"/>
                <w:color w:val="000000"/>
                <w:sz w:val="28"/>
                <w:szCs w:val="28"/>
              </w:rPr>
              <w:t xml:space="preserve">RL.4.5: Explain major differences between poems, drama, and prose and refer to poems’ structural elements (e.g., verse, rhythm, meter) and drama (e.g., casts of characters, settings, descriptions, dialogue, stage directions) when writing or speaking about texts. </w:t>
            </w:r>
          </w:p>
          <w:p w:rsidR="00900D81" w:rsidRPr="00900D81" w:rsidRDefault="00900D81" w:rsidP="00900D8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900D81">
              <w:rPr>
                <w:rFonts w:ascii="Calibri" w:hAnsi="Calibri" w:cs="Calibri"/>
                <w:b/>
                <w:bCs/>
                <w:color w:val="000000"/>
                <w:sz w:val="28"/>
                <w:szCs w:val="28"/>
              </w:rPr>
              <w:t xml:space="preserve">Writing </w:t>
            </w:r>
          </w:p>
          <w:p w:rsidR="00900D81" w:rsidRPr="00900D81" w:rsidRDefault="00900D81" w:rsidP="00900D8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900D81">
              <w:rPr>
                <w:rFonts w:ascii="Calibri" w:hAnsi="Calibri" w:cs="Calibri"/>
                <w:color w:val="000000"/>
                <w:sz w:val="28"/>
                <w:szCs w:val="28"/>
              </w:rPr>
              <w:t xml:space="preserve">W.4.3: Write narratives to develop real or imagined experiences or events using effective techniques, descriptive details, and clear event sequences. </w:t>
            </w:r>
          </w:p>
          <w:p w:rsidR="00900D81" w:rsidRPr="00900D81" w:rsidRDefault="00900D81" w:rsidP="00900D8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900D81">
              <w:rPr>
                <w:rFonts w:ascii="Calibri" w:hAnsi="Calibri" w:cs="Calibri"/>
                <w:color w:val="000000"/>
                <w:sz w:val="28"/>
                <w:szCs w:val="28"/>
              </w:rPr>
              <w:t xml:space="preserve">a. Orient readers by establishing situations and introducing narrators and/or characters; organize event sequences that unfold naturally. </w:t>
            </w:r>
          </w:p>
          <w:p w:rsidR="00900D81" w:rsidRPr="00900D81" w:rsidRDefault="00900D81" w:rsidP="00900D8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900D81">
              <w:rPr>
                <w:rFonts w:ascii="Calibri" w:hAnsi="Calibri" w:cs="Calibri"/>
                <w:color w:val="000000"/>
                <w:sz w:val="28"/>
                <w:szCs w:val="28"/>
              </w:rPr>
              <w:t xml:space="preserve">b. Use dialogue and description to develop experiences and events or show characters’ responses to situations. </w:t>
            </w:r>
          </w:p>
          <w:p w:rsidR="00900D81" w:rsidRPr="00900D81" w:rsidRDefault="00900D81" w:rsidP="00900D8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900D81">
              <w:rPr>
                <w:rFonts w:ascii="Calibri" w:hAnsi="Calibri" w:cs="Calibri"/>
                <w:color w:val="000000"/>
                <w:sz w:val="28"/>
                <w:szCs w:val="28"/>
              </w:rPr>
              <w:t xml:space="preserve">c. Use a variety of transitional words and phrases to manage sequences of events. </w:t>
            </w:r>
          </w:p>
          <w:p w:rsidR="00900D81" w:rsidRPr="00EE1CFC" w:rsidRDefault="00900D81" w:rsidP="00900D8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900D81">
              <w:rPr>
                <w:rFonts w:ascii="Calibri" w:hAnsi="Calibri" w:cs="Calibri"/>
                <w:color w:val="000000"/>
                <w:sz w:val="28"/>
                <w:szCs w:val="28"/>
              </w:rPr>
              <w:t xml:space="preserve">d. Use concrete words and phrases and sensory details to convey experiences and events precisely. </w:t>
            </w:r>
          </w:p>
          <w:tbl>
            <w:tblPr>
              <w:tblW w:w="12045" w:type="dxa"/>
              <w:tblBorders>
                <w:top w:val="nil"/>
                <w:left w:val="nil"/>
                <w:bottom w:val="nil"/>
                <w:right w:val="nil"/>
              </w:tblBorders>
              <w:tblLayout w:type="fixed"/>
              <w:tblLook w:val="0000" w:firstRow="0" w:lastRow="0" w:firstColumn="0" w:lastColumn="0" w:noHBand="0" w:noVBand="0"/>
            </w:tblPr>
            <w:tblGrid>
              <w:gridCol w:w="12045"/>
            </w:tblGrid>
            <w:tr w:rsidR="00EE1CFC" w:rsidRPr="00EE1CFC" w:rsidTr="00EE1CFC">
              <w:trPr>
                <w:trHeight w:val="1931"/>
              </w:trPr>
              <w:tc>
                <w:tcPr>
                  <w:tcW w:w="12045" w:type="dxa"/>
                </w:tcPr>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e. Provide conclusions that follow from narrated experiences or events.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b/>
                      <w:bCs/>
                      <w:color w:val="000000"/>
                      <w:sz w:val="28"/>
                      <w:szCs w:val="28"/>
                    </w:rPr>
                    <w:t xml:space="preserve">Speaking and Listening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SL.4.1: Engage effectively in a range of collaborative discussions (one-on-one, in groups, teacher-led) with diverse partners on grade 4 topics and texts, building on others’ ideas and expressing their own clearly.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a. Come to discussions prepared, having read or studied required materials; explicitly draw on that preparation and other information known about topics to explore ideas under discussion.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b. Follow agreed-upon rules for discussions and carry out assigned roles.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c. Pose and respond to specific questions to clarify or follow up on information and make comments that contribute to the discussion and link to others’ remarks.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d. Review key ideas expressed and explain ideas and understanding in light of discussions.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b/>
                      <w:bCs/>
                      <w:color w:val="000000"/>
                      <w:sz w:val="28"/>
                      <w:szCs w:val="28"/>
                    </w:rPr>
                    <w:lastRenderedPageBreak/>
                    <w:t xml:space="preserve">Language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L.4.2: Demonstrate command of conventions of standard English capitalization, punctuation, and spelling when writing.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a. Use correct capitalization.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b. Use commas and quotation marks to mark direct speech and quotations from texts.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c. Use commas before coordinating conjunctions in compound sentences. </w:t>
                  </w:r>
                </w:p>
                <w:p w:rsidR="00EE1CFC" w:rsidRPr="00EE1CFC" w:rsidRDefault="00EE1CFC" w:rsidP="00EE1CFC">
                  <w:pPr>
                    <w:autoSpaceDE w:val="0"/>
                    <w:autoSpaceDN w:val="0"/>
                    <w:adjustRightInd w:val="0"/>
                    <w:spacing w:after="0" w:line="240" w:lineRule="auto"/>
                    <w:rPr>
                      <w:rFonts w:ascii="Calibri" w:hAnsi="Calibri" w:cs="Calibri"/>
                      <w:color w:val="000000"/>
                      <w:sz w:val="28"/>
                      <w:szCs w:val="28"/>
                    </w:rPr>
                  </w:pPr>
                  <w:r w:rsidRPr="00EE1CFC">
                    <w:rPr>
                      <w:rFonts w:ascii="Calibri" w:hAnsi="Calibri" w:cs="Calibri"/>
                      <w:color w:val="000000"/>
                      <w:sz w:val="28"/>
                      <w:szCs w:val="28"/>
                    </w:rPr>
                    <w:t xml:space="preserve">d. Spell grade-appropriate words correctly, consulting references as needed. </w:t>
                  </w:r>
                </w:p>
              </w:tc>
            </w:tr>
          </w:tbl>
          <w:p w:rsidR="00EE1CFC" w:rsidRPr="00900D81" w:rsidRDefault="00EE1CFC" w:rsidP="00900D8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p>
        </w:tc>
      </w:tr>
      <w:tr w:rsidR="00EE1CFC" w:rsidRPr="00EE1CFC" w:rsidTr="00EE1CFC">
        <w:trPr>
          <w:cnfStyle w:val="000000100000" w:firstRow="0" w:lastRow="0" w:firstColumn="0" w:lastColumn="0" w:oddVBand="0" w:evenVBand="0" w:oddHBand="1" w:evenHBand="0" w:firstRowFirstColumn="0" w:firstRowLastColumn="0" w:lastRowFirstColumn="0" w:lastRowLastColumn="0"/>
          <w:trHeight w:val="696"/>
        </w:trPr>
        <w:tc>
          <w:tcPr>
            <w:cnfStyle w:val="000010000000" w:firstRow="0" w:lastRow="0" w:firstColumn="0" w:lastColumn="0" w:oddVBand="1" w:evenVBand="0" w:oddHBand="0" w:evenHBand="0" w:firstRowFirstColumn="0" w:firstRowLastColumn="0" w:lastRowFirstColumn="0" w:lastRowLastColumn="0"/>
            <w:tcW w:w="1975" w:type="dxa"/>
          </w:tcPr>
          <w:p w:rsidR="00EE1CFC" w:rsidRPr="00EE1CFC" w:rsidRDefault="00EE1CFC" w:rsidP="00EE1CFC">
            <w:pPr>
              <w:pStyle w:val="Default"/>
              <w:rPr>
                <w:sz w:val="28"/>
                <w:szCs w:val="28"/>
              </w:rPr>
            </w:pPr>
            <w:r w:rsidRPr="00EE1CFC">
              <w:rPr>
                <w:b/>
                <w:bCs/>
                <w:sz w:val="28"/>
                <w:szCs w:val="28"/>
              </w:rPr>
              <w:lastRenderedPageBreak/>
              <w:t xml:space="preserve">Concepts </w:t>
            </w:r>
          </w:p>
          <w:p w:rsidR="00EE1CFC" w:rsidRPr="00EE1CFC" w:rsidRDefault="00EE1CFC" w:rsidP="00900D81">
            <w:pPr>
              <w:autoSpaceDE w:val="0"/>
              <w:autoSpaceDN w:val="0"/>
              <w:adjustRightInd w:val="0"/>
              <w:rPr>
                <w:rFonts w:ascii="Calibri" w:hAnsi="Calibri" w:cs="Calibri"/>
                <w:b/>
                <w:bCs/>
                <w:color w:val="000000"/>
                <w:sz w:val="28"/>
                <w:szCs w:val="28"/>
              </w:rPr>
            </w:pPr>
          </w:p>
        </w:tc>
        <w:tc>
          <w:tcPr>
            <w:tcW w:w="12690" w:type="dxa"/>
            <w:shd w:val="clear" w:color="auto" w:fill="FFFFFF" w:themeFill="background1"/>
          </w:tcPr>
          <w:p w:rsidR="00EE1CFC" w:rsidRPr="00EE1CFC" w:rsidRDefault="00EE1CFC" w:rsidP="00793464">
            <w:pPr>
              <w:pStyle w:val="Default"/>
              <w:numPr>
                <w:ilvl w:val="0"/>
                <w:numId w:val="1"/>
              </w:numPr>
              <w:cnfStyle w:val="000000100000" w:firstRow="0" w:lastRow="0" w:firstColumn="0" w:lastColumn="0" w:oddVBand="0" w:evenVBand="0" w:oddHBand="1" w:evenHBand="0" w:firstRowFirstColumn="0" w:firstRowLastColumn="0" w:lastRowFirstColumn="0" w:lastRowLastColumn="0"/>
              <w:rPr>
                <w:sz w:val="28"/>
                <w:szCs w:val="28"/>
              </w:rPr>
            </w:pPr>
            <w:r w:rsidRPr="00EE1CFC">
              <w:rPr>
                <w:sz w:val="28"/>
                <w:szCs w:val="28"/>
              </w:rPr>
              <w:t xml:space="preserve">Reading workshop, writing workshop, the writing process, working in collaborative groups, group talk, independent reading structure, rituals and routines </w:t>
            </w:r>
          </w:p>
          <w:p w:rsidR="00EE1CFC" w:rsidRPr="00EE1CFC" w:rsidRDefault="00EE1CFC" w:rsidP="00900D8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8"/>
                <w:szCs w:val="28"/>
              </w:rPr>
            </w:pPr>
          </w:p>
        </w:tc>
      </w:tr>
    </w:tbl>
    <w:p w:rsidR="001D4461" w:rsidRDefault="001D4461" w:rsidP="001D4461"/>
    <w:tbl>
      <w:tblPr>
        <w:tblStyle w:val="GridTable3"/>
        <w:tblW w:w="14665" w:type="dxa"/>
        <w:tblLayout w:type="fixed"/>
        <w:tblLook w:val="0000" w:firstRow="0" w:lastRow="0" w:firstColumn="0" w:lastColumn="0" w:noHBand="0" w:noVBand="0"/>
      </w:tblPr>
      <w:tblGrid>
        <w:gridCol w:w="4675"/>
        <w:gridCol w:w="4860"/>
        <w:gridCol w:w="5130"/>
      </w:tblGrid>
      <w:tr w:rsidR="00EE1CFC" w:rsidRPr="00EE1CFC" w:rsidTr="00EE1CFC">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4675" w:type="dxa"/>
          </w:tcPr>
          <w:p w:rsidR="00EE1CFC" w:rsidRDefault="00EE1CFC" w:rsidP="00EE1CFC">
            <w:pPr>
              <w:autoSpaceDE w:val="0"/>
              <w:autoSpaceDN w:val="0"/>
              <w:adjustRightInd w:val="0"/>
              <w:rPr>
                <w:rFonts w:ascii="Calibri" w:hAnsi="Calibri" w:cs="Calibri"/>
                <w:b/>
                <w:bCs/>
                <w:color w:val="000000"/>
                <w:sz w:val="28"/>
                <w:szCs w:val="28"/>
              </w:rPr>
            </w:pPr>
            <w:r w:rsidRPr="00EE1CFC">
              <w:rPr>
                <w:rFonts w:ascii="Calibri" w:hAnsi="Calibri" w:cs="Calibri"/>
                <w:b/>
                <w:bCs/>
                <w:color w:val="000000"/>
                <w:sz w:val="28"/>
                <w:szCs w:val="28"/>
              </w:rPr>
              <w:t>Generalizations</w:t>
            </w:r>
            <w:r>
              <w:rPr>
                <w:rFonts w:ascii="Calibri" w:hAnsi="Calibri" w:cs="Calibri"/>
                <w:b/>
                <w:bCs/>
                <w:color w:val="000000"/>
                <w:sz w:val="28"/>
                <w:szCs w:val="28"/>
              </w:rPr>
              <w:t>:</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(Conceptual Understanding) </w:t>
            </w:r>
          </w:p>
        </w:tc>
        <w:tc>
          <w:tcPr>
            <w:tcW w:w="9990" w:type="dxa"/>
            <w:gridSpan w:val="2"/>
          </w:tcPr>
          <w:p w:rsidR="00EE1CFC" w:rsidRPr="00EE1CFC" w:rsidRDefault="00EE1CFC" w:rsidP="00EE1CFC">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Guiding Questions to Build Conceptual Understanding</w:t>
            </w:r>
          </w:p>
        </w:tc>
      </w:tr>
      <w:tr w:rsidR="00EE1CFC" w:rsidRPr="00EE1CFC" w:rsidTr="0002321B">
        <w:trPr>
          <w:trHeight w:val="140"/>
        </w:trPr>
        <w:tc>
          <w:tcPr>
            <w:cnfStyle w:val="000010000000" w:firstRow="0" w:lastRow="0" w:firstColumn="0" w:lastColumn="0" w:oddVBand="1" w:evenVBand="0" w:oddHBand="0" w:evenHBand="0" w:firstRowFirstColumn="0" w:firstRowLastColumn="0" w:lastRowFirstColumn="0" w:lastRowLastColumn="0"/>
            <w:tcW w:w="4675" w:type="dxa"/>
            <w:shd w:val="clear" w:color="auto" w:fill="auto"/>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My students Understand that… </w:t>
            </w:r>
          </w:p>
        </w:tc>
        <w:tc>
          <w:tcPr>
            <w:tcW w:w="4860" w:type="dxa"/>
          </w:tcPr>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Factual </w:t>
            </w:r>
          </w:p>
        </w:tc>
        <w:tc>
          <w:tcPr>
            <w:cnfStyle w:val="000010000000" w:firstRow="0" w:lastRow="0" w:firstColumn="0" w:lastColumn="0" w:oddVBand="1" w:evenVBand="0" w:oddHBand="0" w:evenHBand="0" w:firstRowFirstColumn="0" w:firstRowLastColumn="0" w:lastRowFirstColumn="0" w:lastRowLastColumn="0"/>
            <w:tcW w:w="5130" w:type="dxa"/>
            <w:shd w:val="clear" w:color="auto" w:fill="auto"/>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Conceptual </w:t>
            </w:r>
          </w:p>
        </w:tc>
      </w:tr>
      <w:tr w:rsidR="00EE1CFC" w:rsidRPr="00EE1CFC" w:rsidTr="00EE1CFC">
        <w:trPr>
          <w:cnfStyle w:val="000000100000" w:firstRow="0" w:lastRow="0" w:firstColumn="0" w:lastColumn="0" w:oddVBand="0" w:evenVBand="0" w:oddHBand="1" w:evenHBand="0" w:firstRowFirstColumn="0" w:firstRowLastColumn="0" w:lastRowFirstColumn="0" w:lastRowLastColumn="0"/>
          <w:trHeight w:val="344"/>
        </w:trPr>
        <w:tc>
          <w:tcPr>
            <w:cnfStyle w:val="000010000000" w:firstRow="0" w:lastRow="0" w:firstColumn="0" w:lastColumn="0" w:oddVBand="1" w:evenVBand="0" w:oddHBand="0" w:evenHBand="0" w:firstRowFirstColumn="0" w:firstRowLastColumn="0" w:lastRowFirstColumn="0" w:lastRowLastColumn="0"/>
            <w:tcW w:w="4675" w:type="dxa"/>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Readers use cues and clues: They use a variety of strategies to think within, beyond, and about texts. </w:t>
            </w:r>
          </w:p>
        </w:tc>
        <w:tc>
          <w:tcPr>
            <w:tcW w:w="4860" w:type="dxa"/>
          </w:tcPr>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How do you determine characters’ struggles? What do characters’ actions and dialogue tell you? </w:t>
            </w:r>
          </w:p>
        </w:tc>
        <w:tc>
          <w:tcPr>
            <w:cnfStyle w:val="000010000000" w:firstRow="0" w:lastRow="0" w:firstColumn="0" w:lastColumn="0" w:oddVBand="1" w:evenVBand="0" w:oddHBand="0" w:evenHBand="0" w:firstRowFirstColumn="0" w:firstRowLastColumn="0" w:lastRowFirstColumn="0" w:lastRowLastColumn="0"/>
            <w:tcW w:w="5130" w:type="dxa"/>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How does figurative language help you understand narratives? When and why do you stop and check your reading? </w:t>
            </w:r>
          </w:p>
        </w:tc>
      </w:tr>
      <w:tr w:rsidR="00EE1CFC" w:rsidRPr="00EE1CFC" w:rsidTr="0002321B">
        <w:trPr>
          <w:trHeight w:val="466"/>
        </w:trPr>
        <w:tc>
          <w:tcPr>
            <w:cnfStyle w:val="000010000000" w:firstRow="0" w:lastRow="0" w:firstColumn="0" w:lastColumn="0" w:oddVBand="1" w:evenVBand="0" w:oddHBand="0" w:evenHBand="0" w:firstRowFirstColumn="0" w:firstRowLastColumn="0" w:lastRowFirstColumn="0" w:lastRowLastColumn="0"/>
            <w:tcW w:w="4675" w:type="dxa"/>
            <w:shd w:val="clear" w:color="auto" w:fill="auto"/>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Readers and writers talk and think about character development and stories’ messages. </w:t>
            </w:r>
          </w:p>
        </w:tc>
        <w:tc>
          <w:tcPr>
            <w:tcW w:w="4860" w:type="dxa"/>
          </w:tcPr>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How do the way characters talk (dialect) contribute to what you know about them? Why do retelling, asking questions, and making predictions with your partner help you understand? </w:t>
            </w:r>
          </w:p>
        </w:tc>
        <w:tc>
          <w:tcPr>
            <w:cnfStyle w:val="000010000000" w:firstRow="0" w:lastRow="0" w:firstColumn="0" w:lastColumn="0" w:oddVBand="1" w:evenVBand="0" w:oddHBand="0" w:evenHBand="0" w:firstRowFirstColumn="0" w:firstRowLastColumn="0" w:lastRowFirstColumn="0" w:lastRowLastColumn="0"/>
            <w:tcW w:w="5130" w:type="dxa"/>
            <w:shd w:val="clear" w:color="auto" w:fill="auto"/>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How do retelling, asking questions, and making predictions with our partners help us understand stories? </w:t>
            </w:r>
          </w:p>
        </w:tc>
      </w:tr>
      <w:tr w:rsidR="00EE1CFC" w:rsidRPr="00EE1CFC" w:rsidTr="00EE1CFC">
        <w:trPr>
          <w:cnfStyle w:val="000000100000" w:firstRow="0" w:lastRow="0" w:firstColumn="0" w:lastColumn="0" w:oddVBand="0" w:evenVBand="0" w:oddHBand="1" w:evenHBand="0" w:firstRowFirstColumn="0" w:firstRowLastColumn="0" w:lastRowFirstColumn="0" w:lastRowLastColumn="0"/>
          <w:trHeight w:val="222"/>
        </w:trPr>
        <w:tc>
          <w:tcPr>
            <w:cnfStyle w:val="000010000000" w:firstRow="0" w:lastRow="0" w:firstColumn="0" w:lastColumn="0" w:oddVBand="1" w:evenVBand="0" w:oddHBand="0" w:evenHBand="0" w:firstRowFirstColumn="0" w:firstRowLastColumn="0" w:lastRowFirstColumn="0" w:lastRowLastColumn="0"/>
            <w:tcW w:w="4675" w:type="dxa"/>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Narrative writers weave internal stories into sequences of actions, giving cohesive, focused accounts. </w:t>
            </w:r>
          </w:p>
        </w:tc>
        <w:tc>
          <w:tcPr>
            <w:tcW w:w="4860" w:type="dxa"/>
          </w:tcPr>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What literary devices or descriptive clauses could you weave into your stories to make them better? </w:t>
            </w:r>
          </w:p>
        </w:tc>
        <w:tc>
          <w:tcPr>
            <w:cnfStyle w:val="000010000000" w:firstRow="0" w:lastRow="0" w:firstColumn="0" w:lastColumn="0" w:oddVBand="1" w:evenVBand="0" w:oddHBand="0" w:evenHBand="0" w:firstRowFirstColumn="0" w:firstRowLastColumn="0" w:lastRowFirstColumn="0" w:lastRowLastColumn="0"/>
            <w:tcW w:w="5130" w:type="dxa"/>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How do you help readers understand the big ideas (messages) of your stories? </w:t>
            </w:r>
          </w:p>
        </w:tc>
      </w:tr>
      <w:tr w:rsidR="00EE1CFC" w:rsidRPr="00EE1CFC" w:rsidTr="0002321B">
        <w:trPr>
          <w:trHeight w:val="222"/>
        </w:trPr>
        <w:tc>
          <w:tcPr>
            <w:cnfStyle w:val="000010000000" w:firstRow="0" w:lastRow="0" w:firstColumn="0" w:lastColumn="0" w:oddVBand="1" w:evenVBand="0" w:oddHBand="0" w:evenHBand="0" w:firstRowFirstColumn="0" w:firstRowLastColumn="0" w:lastRowFirstColumn="0" w:lastRowLastColumn="0"/>
            <w:tcW w:w="4675" w:type="dxa"/>
            <w:shd w:val="clear" w:color="auto" w:fill="auto"/>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We use known words and word parts to read, write, and understand new words. </w:t>
            </w:r>
          </w:p>
        </w:tc>
        <w:tc>
          <w:tcPr>
            <w:tcW w:w="4860" w:type="dxa"/>
          </w:tcPr>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What parts of words do you know that can help you read and write longer words? </w:t>
            </w:r>
          </w:p>
        </w:tc>
        <w:tc>
          <w:tcPr>
            <w:cnfStyle w:val="000010000000" w:firstRow="0" w:lastRow="0" w:firstColumn="0" w:lastColumn="0" w:oddVBand="1" w:evenVBand="0" w:oddHBand="0" w:evenHBand="0" w:firstRowFirstColumn="0" w:firstRowLastColumn="0" w:lastRowFirstColumn="0" w:lastRowLastColumn="0"/>
            <w:tcW w:w="5130" w:type="dxa"/>
            <w:shd w:val="clear" w:color="auto" w:fill="auto"/>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How are words related, and how can I change words by adding or taking away parts? </w:t>
            </w:r>
          </w:p>
        </w:tc>
      </w:tr>
    </w:tbl>
    <w:p w:rsidR="00900D81" w:rsidRDefault="00900D81" w:rsidP="00900D81">
      <w:pPr>
        <w:rPr>
          <w:rFonts w:ascii="Calibri" w:eastAsia="Calibri" w:hAnsi="Calibri" w:cs="Calibri"/>
          <w:sz w:val="20"/>
          <w:szCs w:val="20"/>
        </w:rPr>
      </w:pPr>
    </w:p>
    <w:p w:rsidR="00EE1CFC" w:rsidRDefault="00EE1CFC" w:rsidP="00900D81">
      <w:pPr>
        <w:rPr>
          <w:rFonts w:ascii="Calibri" w:eastAsia="Calibri" w:hAnsi="Calibri" w:cs="Calibri"/>
          <w:sz w:val="20"/>
          <w:szCs w:val="20"/>
        </w:rPr>
      </w:pPr>
    </w:p>
    <w:p w:rsidR="00EE1CFC" w:rsidRDefault="00EE1CFC" w:rsidP="00900D81">
      <w:pPr>
        <w:rPr>
          <w:rFonts w:ascii="Calibri" w:eastAsia="Calibri" w:hAnsi="Calibri" w:cs="Calibri"/>
          <w:sz w:val="20"/>
          <w:szCs w:val="20"/>
        </w:rPr>
      </w:pPr>
    </w:p>
    <w:tbl>
      <w:tblPr>
        <w:tblStyle w:val="GridTable3"/>
        <w:tblW w:w="0" w:type="auto"/>
        <w:tblLayout w:type="fixed"/>
        <w:tblLook w:val="0000" w:firstRow="0" w:lastRow="0" w:firstColumn="0" w:lastColumn="0" w:noHBand="0" w:noVBand="0"/>
      </w:tblPr>
      <w:tblGrid>
        <w:gridCol w:w="3505"/>
        <w:gridCol w:w="3533"/>
        <w:gridCol w:w="29"/>
        <w:gridCol w:w="3533"/>
        <w:gridCol w:w="15"/>
        <w:gridCol w:w="3960"/>
      </w:tblGrid>
      <w:tr w:rsidR="00EE1CFC" w:rsidRPr="00EE1CFC" w:rsidTr="00EE1CFC">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4575" w:type="dxa"/>
            <w:gridSpan w:val="6"/>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lastRenderedPageBreak/>
              <w:t xml:space="preserve">Key Knowledge, Strategies, and Skills </w:t>
            </w:r>
          </w:p>
        </w:tc>
      </w:tr>
      <w:tr w:rsidR="00EE1CFC" w:rsidRPr="00EE1CFC" w:rsidTr="0002321B">
        <w:trPr>
          <w:trHeight w:val="140"/>
        </w:trPr>
        <w:tc>
          <w:tcPr>
            <w:cnfStyle w:val="000010000000" w:firstRow="0" w:lastRow="0" w:firstColumn="0" w:lastColumn="0" w:oddVBand="1" w:evenVBand="0" w:oddHBand="0" w:evenHBand="0" w:firstRowFirstColumn="0" w:firstRowLastColumn="0" w:lastRowFirstColumn="0" w:lastRowLastColumn="0"/>
            <w:tcW w:w="14575" w:type="dxa"/>
            <w:gridSpan w:val="6"/>
            <w:shd w:val="clear" w:color="auto" w:fill="auto"/>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My students will be able to (Do)… </w:t>
            </w:r>
          </w:p>
        </w:tc>
      </w:tr>
      <w:tr w:rsidR="00EE1CFC" w:rsidRPr="00EE1CFC" w:rsidTr="0002321B">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505" w:type="dxa"/>
            <w:vMerge w:val="restart"/>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Reading Workshop </w:t>
            </w:r>
          </w:p>
        </w:tc>
        <w:tc>
          <w:tcPr>
            <w:tcW w:w="3533" w:type="dxa"/>
          </w:tcPr>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Key Knowledge</w:t>
            </w:r>
          </w:p>
        </w:tc>
        <w:tc>
          <w:tcPr>
            <w:cnfStyle w:val="000010000000" w:firstRow="0" w:lastRow="0" w:firstColumn="0" w:lastColumn="0" w:oddVBand="1" w:evenVBand="0" w:oddHBand="0" w:evenHBand="0" w:firstRowFirstColumn="0" w:firstRowLastColumn="0" w:lastRowFirstColumn="0" w:lastRowLastColumn="0"/>
            <w:tcW w:w="3577" w:type="dxa"/>
            <w:gridSpan w:val="3"/>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Strategies </w:t>
            </w:r>
          </w:p>
        </w:tc>
        <w:tc>
          <w:tcPr>
            <w:tcW w:w="3960" w:type="dxa"/>
          </w:tcPr>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Skills </w:t>
            </w:r>
          </w:p>
        </w:tc>
      </w:tr>
      <w:tr w:rsidR="00EE1CFC" w:rsidRPr="00EE1CFC" w:rsidTr="0002321B">
        <w:trPr>
          <w:trHeight w:val="2174"/>
        </w:trPr>
        <w:tc>
          <w:tcPr>
            <w:cnfStyle w:val="000010000000" w:firstRow="0" w:lastRow="0" w:firstColumn="0" w:lastColumn="0" w:oddVBand="1" w:evenVBand="0" w:oddHBand="0" w:evenHBand="0" w:firstRowFirstColumn="0" w:firstRowLastColumn="0" w:lastRowFirstColumn="0" w:lastRowLastColumn="0"/>
            <w:tcW w:w="3505" w:type="dxa"/>
            <w:vMerge/>
          </w:tcPr>
          <w:p w:rsidR="00EE1CFC" w:rsidRPr="00EE1CFC" w:rsidRDefault="00EE1CFC" w:rsidP="00EE1CFC">
            <w:pPr>
              <w:autoSpaceDE w:val="0"/>
              <w:autoSpaceDN w:val="0"/>
              <w:adjustRightInd w:val="0"/>
              <w:rPr>
                <w:rFonts w:ascii="Calibri" w:hAnsi="Calibri" w:cs="Calibri"/>
                <w:color w:val="000000"/>
                <w:sz w:val="28"/>
                <w:szCs w:val="28"/>
              </w:rPr>
            </w:pPr>
          </w:p>
        </w:tc>
        <w:tc>
          <w:tcPr>
            <w:tcW w:w="3533" w:type="dxa"/>
          </w:tcPr>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sz w:val="28"/>
                <w:szCs w:val="28"/>
              </w:rPr>
            </w:pP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View themselves as readers and know what good readers do.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Read books of different genres.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Read literature and compare themes from various cultural perspectives.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Use strategies to comprehend texts and solve reading problems (e.g., make meaningful predictions and draw conclusions, use context clues to figure out unfamiliar words in context).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Listen and discuss stories with partners and in small groups.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Use classroom rituals and routines to work independently and with others.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p>
        </w:tc>
        <w:tc>
          <w:tcPr>
            <w:cnfStyle w:val="000010000000" w:firstRow="0" w:lastRow="0" w:firstColumn="0" w:lastColumn="0" w:oddVBand="1" w:evenVBand="0" w:oddHBand="0" w:evenHBand="0" w:firstRowFirstColumn="0" w:firstRowLastColumn="0" w:lastRowFirstColumn="0" w:lastRowLastColumn="0"/>
            <w:tcW w:w="3562" w:type="dxa"/>
            <w:gridSpan w:val="2"/>
            <w:shd w:val="clear" w:color="auto" w:fill="auto"/>
          </w:tcPr>
          <w:p w:rsidR="00EE1CFC" w:rsidRPr="00EE1CFC" w:rsidRDefault="00EE1CFC" w:rsidP="00EE1CFC">
            <w:pPr>
              <w:autoSpaceDE w:val="0"/>
              <w:autoSpaceDN w:val="0"/>
              <w:adjustRightInd w:val="0"/>
              <w:rPr>
                <w:rFonts w:ascii="Calibri" w:hAnsi="Calibri"/>
                <w:sz w:val="28"/>
                <w:szCs w:val="28"/>
              </w:rPr>
            </w:pP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Ask questions.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Make connections.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Make inferences based on text evidence.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Use fix-up monitoring reading strategies.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Use collaborative group structures.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Do what good readers do: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 Read a lot.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 Read daily.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 Follow reading workshop rituals and routines.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 Read a variety of genres.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 Use reading workshop tools to record reading progress (reading folders, reading logs, reading notebooks, assessment notebooks).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 Read for a purpose.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 Talk about what they read.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 Practice reading strategies during independent reading time. </w:t>
            </w:r>
          </w:p>
          <w:p w:rsidR="00EE1CFC" w:rsidRPr="00EE1CFC" w:rsidRDefault="00EE1CFC" w:rsidP="00EE1CFC">
            <w:pPr>
              <w:autoSpaceDE w:val="0"/>
              <w:autoSpaceDN w:val="0"/>
              <w:adjustRightInd w:val="0"/>
              <w:rPr>
                <w:rFonts w:ascii="Calibri" w:hAnsi="Calibri" w:cs="Calibri"/>
                <w:color w:val="000000"/>
                <w:sz w:val="28"/>
                <w:szCs w:val="28"/>
              </w:rPr>
            </w:pPr>
          </w:p>
        </w:tc>
        <w:tc>
          <w:tcPr>
            <w:tcW w:w="3975" w:type="dxa"/>
            <w:gridSpan w:val="2"/>
          </w:tcPr>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sz w:val="28"/>
                <w:szCs w:val="28"/>
              </w:rPr>
            </w:pP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Activate prior knowledge.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Make text-to-self connections.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Determine main ideas and key details.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Analyze and compare information.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Make predictions.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Use analogies.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Use context clues to figure out unfamiliar words.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Draw conclusions.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Monitor fluency.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Reread, stop, and review. </w:t>
            </w:r>
          </w:p>
          <w:p w:rsidR="00EE1CFC" w:rsidRPr="00EE1CFC" w:rsidRDefault="00EE1CFC" w:rsidP="00EE1CF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p>
        </w:tc>
      </w:tr>
      <w:tr w:rsidR="00EE1CFC" w:rsidRPr="00EE1CFC" w:rsidTr="0002321B">
        <w:trPr>
          <w:cnfStyle w:val="000000100000" w:firstRow="0" w:lastRow="0" w:firstColumn="0" w:lastColumn="0" w:oddVBand="0" w:evenVBand="0" w:oddHBand="1" w:evenHBand="0" w:firstRowFirstColumn="0" w:firstRowLastColumn="0" w:lastRowFirstColumn="0" w:lastRowLastColumn="0"/>
          <w:trHeight w:val="1565"/>
        </w:trPr>
        <w:tc>
          <w:tcPr>
            <w:cnfStyle w:val="000010000000" w:firstRow="0" w:lastRow="0" w:firstColumn="0" w:lastColumn="0" w:oddVBand="1" w:evenVBand="0" w:oddHBand="0" w:evenHBand="0" w:firstRowFirstColumn="0" w:firstRowLastColumn="0" w:lastRowFirstColumn="0" w:lastRowLastColumn="0"/>
            <w:tcW w:w="3505" w:type="dxa"/>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lastRenderedPageBreak/>
              <w:t xml:space="preserve">Writing Workshop </w:t>
            </w:r>
          </w:p>
        </w:tc>
        <w:tc>
          <w:tcPr>
            <w:tcW w:w="3533" w:type="dxa"/>
            <w:shd w:val="clear" w:color="auto" w:fill="auto"/>
          </w:tcPr>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sz w:val="28"/>
                <w:szCs w:val="28"/>
              </w:rPr>
            </w:pP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View the world as writers and keep writing notebooks.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Use writing notebooks to generate and collect ideas, stories, responses, observations, and notes and try writing techniques.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Take ideas through writing cycle to publication.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Tell and write focused pieces.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Use classroom rituals and routines to work independently and with others.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Apply spelling, grammar, and punctuation strategies (taught during skills block) to daily writing.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c>
          <w:tcPr>
            <w:cnfStyle w:val="000010000000" w:firstRow="0" w:lastRow="0" w:firstColumn="0" w:lastColumn="0" w:oddVBand="1" w:evenVBand="0" w:oddHBand="0" w:evenHBand="0" w:firstRowFirstColumn="0" w:firstRowLastColumn="0" w:lastRowFirstColumn="0" w:lastRowLastColumn="0"/>
            <w:tcW w:w="3562" w:type="dxa"/>
            <w:gridSpan w:val="2"/>
            <w:shd w:val="clear" w:color="auto" w:fill="auto"/>
          </w:tcPr>
          <w:p w:rsidR="00EE1CFC" w:rsidRPr="00EE1CFC" w:rsidRDefault="00EE1CFC" w:rsidP="00EE1CFC">
            <w:pPr>
              <w:autoSpaceDE w:val="0"/>
              <w:autoSpaceDN w:val="0"/>
              <w:adjustRightInd w:val="0"/>
              <w:rPr>
                <w:rFonts w:ascii="Calibri" w:hAnsi="Calibri"/>
                <w:sz w:val="28"/>
                <w:szCs w:val="28"/>
              </w:rPr>
            </w:pP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Understand the writing process.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Create writing rubrics.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Use literary techniques. </w:t>
            </w:r>
          </w:p>
          <w:p w:rsidR="00EE1CFC" w:rsidRPr="00EE1CFC" w:rsidRDefault="00EE1CFC" w:rsidP="00EE1CFC">
            <w:pPr>
              <w:autoSpaceDE w:val="0"/>
              <w:autoSpaceDN w:val="0"/>
              <w:adjustRightInd w:val="0"/>
              <w:rPr>
                <w:rFonts w:ascii="Calibri" w:hAnsi="Calibri" w:cs="Calibri"/>
                <w:color w:val="000000"/>
                <w:sz w:val="28"/>
                <w:szCs w:val="28"/>
              </w:rPr>
            </w:pPr>
          </w:p>
        </w:tc>
        <w:tc>
          <w:tcPr>
            <w:tcW w:w="3975" w:type="dxa"/>
            <w:gridSpan w:val="2"/>
            <w:shd w:val="clear" w:color="auto" w:fill="auto"/>
          </w:tcPr>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sz w:val="28"/>
                <w:szCs w:val="28"/>
              </w:rPr>
            </w:pP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Use source books to gather information.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Narrow the focus.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Expand seed ideas.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Organize writing.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Write for a purpose.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Explore great leads and endings.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Use sensory details.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Go through the writing process.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 Plan.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 Draft.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 Revise.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 Edit.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 Publish.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r>
      <w:tr w:rsidR="00EE1CFC" w:rsidRPr="00EE1CFC" w:rsidTr="00EE1CFC">
        <w:trPr>
          <w:trHeight w:val="99"/>
        </w:trPr>
        <w:tc>
          <w:tcPr>
            <w:cnfStyle w:val="000010000000" w:firstRow="0" w:lastRow="0" w:firstColumn="0" w:lastColumn="0" w:oddVBand="1" w:evenVBand="0" w:oddHBand="0" w:evenHBand="0" w:firstRowFirstColumn="0" w:firstRowLastColumn="0" w:lastRowFirstColumn="0" w:lastRowLastColumn="0"/>
            <w:tcW w:w="14575" w:type="dxa"/>
            <w:gridSpan w:val="6"/>
          </w:tcPr>
          <w:p w:rsidR="00EE1CFC" w:rsidRPr="00EE1CFC" w:rsidRDefault="00EE1CFC" w:rsidP="0002321B">
            <w:pPr>
              <w:autoSpaceDE w:val="0"/>
              <w:autoSpaceDN w:val="0"/>
              <w:adjustRightInd w:val="0"/>
              <w:jc w:val="center"/>
              <w:rPr>
                <w:rFonts w:ascii="Calibri" w:hAnsi="Calibri" w:cs="Calibri"/>
                <w:color w:val="000000"/>
                <w:sz w:val="28"/>
                <w:szCs w:val="28"/>
              </w:rPr>
            </w:pPr>
            <w:r w:rsidRPr="00EE1CFC">
              <w:rPr>
                <w:rFonts w:ascii="Calibri" w:hAnsi="Calibri" w:cs="Calibri"/>
                <w:b/>
                <w:bCs/>
                <w:color w:val="000000"/>
                <w:sz w:val="28"/>
                <w:szCs w:val="28"/>
              </w:rPr>
              <w:t>Skills Block: (Fountas and Pinnell)</w:t>
            </w:r>
            <w:r w:rsidR="0002321B">
              <w:rPr>
                <w:rFonts w:ascii="Calibri" w:hAnsi="Calibri" w:cs="Calibri"/>
                <w:b/>
                <w:bCs/>
                <w:color w:val="000000"/>
                <w:sz w:val="28"/>
                <w:szCs w:val="28"/>
              </w:rPr>
              <w:t>:</w:t>
            </w:r>
          </w:p>
        </w:tc>
      </w:tr>
      <w:tr w:rsidR="00EE1CFC" w:rsidRPr="00EE1CFC" w:rsidTr="0002321B">
        <w:trPr>
          <w:cnfStyle w:val="000000100000" w:firstRow="0" w:lastRow="0" w:firstColumn="0" w:lastColumn="0" w:oddVBand="0" w:evenVBand="0" w:oddHBand="1" w:evenHBand="0" w:firstRowFirstColumn="0" w:firstRowLastColumn="0" w:lastRowFirstColumn="0" w:lastRowLastColumn="0"/>
          <w:trHeight w:val="466"/>
        </w:trPr>
        <w:tc>
          <w:tcPr>
            <w:cnfStyle w:val="000010000000" w:firstRow="0" w:lastRow="0" w:firstColumn="0" w:lastColumn="0" w:oddVBand="1" w:evenVBand="0" w:oddHBand="0" w:evenHBand="0" w:firstRowFirstColumn="0" w:firstRowLastColumn="0" w:lastRowFirstColumn="0" w:lastRowLastColumn="0"/>
            <w:tcW w:w="7067" w:type="dxa"/>
            <w:gridSpan w:val="3"/>
            <w:shd w:val="clear" w:color="auto" w:fill="FFFFFF" w:themeFill="background1"/>
          </w:tcPr>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Year-Long Concepts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Letter/Sound Relationships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Spelling Patterns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High-Frequency Words </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Word Meanings</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Word Structure</w:t>
            </w:r>
          </w:p>
          <w:p w:rsidR="00EE1CFC" w:rsidRPr="00EE1CFC" w:rsidRDefault="00EE1CFC" w:rsidP="00EE1CFC">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Word-Solving Actions</w:t>
            </w:r>
          </w:p>
          <w:p w:rsidR="00EE1CFC" w:rsidRPr="00EE1CFC" w:rsidRDefault="00EE1CFC" w:rsidP="00EE1CFC">
            <w:pPr>
              <w:autoSpaceDE w:val="0"/>
              <w:autoSpaceDN w:val="0"/>
              <w:adjustRightInd w:val="0"/>
              <w:rPr>
                <w:rFonts w:ascii="Calibri" w:hAnsi="Calibri" w:cs="Calibri"/>
                <w:color w:val="000000"/>
                <w:sz w:val="28"/>
                <w:szCs w:val="28"/>
              </w:rPr>
            </w:pPr>
          </w:p>
        </w:tc>
        <w:tc>
          <w:tcPr>
            <w:tcW w:w="7508" w:type="dxa"/>
            <w:gridSpan w:val="3"/>
            <w:shd w:val="clear" w:color="auto" w:fill="FFFFFF" w:themeFill="background1"/>
          </w:tcPr>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Unit Skills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Recognize and use silent letters.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Recognize and use a large number of phonograms (word parts/chunks).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 </w:t>
            </w:r>
            <w:r w:rsidRPr="00EE1CFC">
              <w:rPr>
                <w:rFonts w:ascii="Calibri" w:hAnsi="Calibri" w:cs="Calibri"/>
                <w:color w:val="000000"/>
                <w:sz w:val="28"/>
                <w:szCs w:val="28"/>
              </w:rPr>
              <w:t xml:space="preserve">Continue accumulating high-frequency words. </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Use a variety of compound words, synonyms, antonyms, homographs, and homonyms.</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Recognize and use syllables and break words to read or write them.</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lastRenderedPageBreak/>
              <w:t>- Understand the concept of plurals and plural forms.</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Use known words and word parts to help read and spell new words.</w:t>
            </w:r>
          </w:p>
          <w:p w:rsidR="00EE1CFC" w:rsidRPr="00EE1CFC" w:rsidRDefault="00EE1CFC" w:rsidP="00EE1CF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p>
        </w:tc>
      </w:tr>
    </w:tbl>
    <w:p w:rsidR="00EE1CFC" w:rsidRDefault="00EE1CFC" w:rsidP="00900D81">
      <w:pPr>
        <w:rPr>
          <w:rFonts w:ascii="Calibri" w:eastAsia="Calibri" w:hAnsi="Calibri" w:cs="Calibri"/>
          <w:sz w:val="20"/>
          <w:szCs w:val="20"/>
        </w:rPr>
      </w:pPr>
    </w:p>
    <w:p w:rsidR="0002321B" w:rsidRDefault="0002321B" w:rsidP="00900D81">
      <w:pPr>
        <w:rPr>
          <w:rFonts w:ascii="Calibri" w:eastAsia="Calibri" w:hAnsi="Calibri" w:cs="Calibri"/>
          <w:sz w:val="20"/>
          <w:szCs w:val="20"/>
        </w:rPr>
      </w:pPr>
    </w:p>
    <w:p w:rsidR="0002321B" w:rsidRDefault="0002321B" w:rsidP="00900D81">
      <w:pPr>
        <w:rPr>
          <w:rFonts w:ascii="Calibri" w:eastAsia="Calibri" w:hAnsi="Calibri" w:cs="Calibri"/>
          <w:sz w:val="20"/>
          <w:szCs w:val="20"/>
        </w:rPr>
      </w:pPr>
    </w:p>
    <w:p w:rsidR="0002321B" w:rsidRDefault="0002321B" w:rsidP="00900D81">
      <w:pPr>
        <w:rPr>
          <w:rFonts w:ascii="Calibri" w:eastAsia="Calibri" w:hAnsi="Calibri" w:cs="Calibri"/>
          <w:sz w:val="20"/>
          <w:szCs w:val="20"/>
        </w:rPr>
      </w:pPr>
    </w:p>
    <w:p w:rsidR="0002321B" w:rsidRDefault="0002321B" w:rsidP="00900D81">
      <w:pPr>
        <w:rPr>
          <w:rFonts w:ascii="Calibri" w:eastAsia="Calibri" w:hAnsi="Calibri" w:cs="Calibri"/>
          <w:sz w:val="20"/>
          <w:szCs w:val="20"/>
        </w:rPr>
      </w:pPr>
    </w:p>
    <w:p w:rsidR="0002321B" w:rsidRDefault="0002321B" w:rsidP="00900D81">
      <w:pPr>
        <w:rPr>
          <w:rFonts w:ascii="Calibri" w:eastAsia="Calibri" w:hAnsi="Calibri" w:cs="Calibri"/>
          <w:sz w:val="20"/>
          <w:szCs w:val="20"/>
        </w:rPr>
      </w:pPr>
    </w:p>
    <w:tbl>
      <w:tblPr>
        <w:tblStyle w:val="GridTable3"/>
        <w:tblW w:w="0" w:type="auto"/>
        <w:tblLayout w:type="fixed"/>
        <w:tblLook w:val="0000" w:firstRow="0" w:lastRow="0" w:firstColumn="0" w:lastColumn="0" w:noHBand="0" w:noVBand="0"/>
      </w:tblPr>
      <w:tblGrid>
        <w:gridCol w:w="1885"/>
        <w:gridCol w:w="3420"/>
        <w:gridCol w:w="4230"/>
        <w:gridCol w:w="5040"/>
      </w:tblGrid>
      <w:tr w:rsidR="00EE1CFC" w:rsidRPr="00EE1CFC" w:rsidTr="00EE1CFC">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4575" w:type="dxa"/>
            <w:gridSpan w:val="4"/>
          </w:tcPr>
          <w:p w:rsidR="00EE1CFC" w:rsidRPr="00EE1CFC" w:rsidRDefault="00EE1CFC" w:rsidP="00093FE4">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Critical Language: </w:t>
            </w:r>
            <w:r w:rsidRPr="00EE1CFC">
              <w:rPr>
                <w:rFonts w:ascii="Calibri" w:hAnsi="Calibri" w:cs="Calibri"/>
                <w:color w:val="000000"/>
                <w:sz w:val="28"/>
                <w:szCs w:val="28"/>
              </w:rPr>
              <w:t xml:space="preserve">Academic vocabulary to be used in oral and written classroom discourse </w:t>
            </w:r>
          </w:p>
        </w:tc>
      </w:tr>
      <w:tr w:rsidR="00EE1CFC" w:rsidRPr="00EE1CFC" w:rsidTr="0002321B">
        <w:trPr>
          <w:trHeight w:val="348"/>
        </w:trPr>
        <w:tc>
          <w:tcPr>
            <w:cnfStyle w:val="000010000000" w:firstRow="0" w:lastRow="0" w:firstColumn="0" w:lastColumn="0" w:oddVBand="1" w:evenVBand="0" w:oddHBand="0" w:evenHBand="0" w:firstRowFirstColumn="0" w:firstRowLastColumn="0" w:lastRowFirstColumn="0" w:lastRowLastColumn="0"/>
            <w:tcW w:w="5305" w:type="dxa"/>
            <w:gridSpan w:val="2"/>
            <w:shd w:val="clear" w:color="auto" w:fill="FFFFFF" w:themeFill="background1"/>
          </w:tcPr>
          <w:p w:rsidR="00EE1CFC" w:rsidRPr="00EE1CFC" w:rsidRDefault="00EE1CFC" w:rsidP="00093FE4">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Grade 4 students demonstrate ability to apply and comprehend critical language through the following examples. </w:t>
            </w:r>
          </w:p>
        </w:tc>
        <w:tc>
          <w:tcPr>
            <w:tcW w:w="9270" w:type="dxa"/>
            <w:gridSpan w:val="2"/>
          </w:tcPr>
          <w:p w:rsidR="00EE1CFC" w:rsidRPr="002E6D51" w:rsidRDefault="00EE1CFC" w:rsidP="00793464">
            <w:pPr>
              <w:pStyle w:val="ListParagraph"/>
              <w:numPr>
                <w:ilvl w:val="0"/>
                <w:numId w:val="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2E6D51">
              <w:rPr>
                <w:rFonts w:ascii="Calibri" w:hAnsi="Calibri" w:cs="Calibri"/>
                <w:color w:val="000000"/>
                <w:sz w:val="28"/>
                <w:szCs w:val="28"/>
              </w:rPr>
              <w:t xml:space="preserve">I can orally critique and analyze mentor texts to build thinking about precise language and figurative language. </w:t>
            </w:r>
          </w:p>
          <w:p w:rsidR="00EE1CFC" w:rsidRPr="002E6D51" w:rsidRDefault="00EE1CFC" w:rsidP="00793464">
            <w:pPr>
              <w:pStyle w:val="ListParagraph"/>
              <w:numPr>
                <w:ilvl w:val="0"/>
                <w:numId w:val="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2E6D51">
              <w:rPr>
                <w:rFonts w:ascii="Calibri" w:hAnsi="Calibri" w:cs="Calibri"/>
                <w:color w:val="000000"/>
                <w:sz w:val="28"/>
                <w:szCs w:val="28"/>
              </w:rPr>
              <w:t xml:space="preserve">I can encourage my classmates to revise through peer critiques. </w:t>
            </w:r>
          </w:p>
        </w:tc>
      </w:tr>
      <w:tr w:rsidR="00EE1CFC" w:rsidRPr="00EE1CFC" w:rsidTr="002E6D51">
        <w:trPr>
          <w:cnfStyle w:val="000000100000" w:firstRow="0" w:lastRow="0" w:firstColumn="0" w:lastColumn="0" w:oddVBand="0" w:evenVBand="0" w:oddHBand="1" w:evenHBand="0" w:firstRowFirstColumn="0" w:firstRowLastColumn="0" w:lastRowFirstColumn="0" w:lastRowLastColumn="0"/>
          <w:trHeight w:val="435"/>
        </w:trPr>
        <w:tc>
          <w:tcPr>
            <w:cnfStyle w:val="000010000000" w:firstRow="0" w:lastRow="0" w:firstColumn="0" w:lastColumn="0" w:oddVBand="1" w:evenVBand="0" w:oddHBand="0" w:evenHBand="0" w:firstRowFirstColumn="0" w:firstRowLastColumn="0" w:lastRowFirstColumn="0" w:lastRowLastColumn="0"/>
            <w:tcW w:w="1885" w:type="dxa"/>
            <w:vMerge w:val="restart"/>
          </w:tcPr>
          <w:p w:rsidR="00EE1CFC" w:rsidRPr="00EE1CFC" w:rsidRDefault="00EE1CFC" w:rsidP="00EE1CFC">
            <w:pPr>
              <w:autoSpaceDE w:val="0"/>
              <w:autoSpaceDN w:val="0"/>
              <w:adjustRightInd w:val="0"/>
              <w:jc w:val="center"/>
              <w:rPr>
                <w:rFonts w:ascii="Calibri" w:hAnsi="Calibri" w:cs="Calibri"/>
                <w:i/>
                <w:color w:val="000000"/>
                <w:sz w:val="28"/>
                <w:szCs w:val="28"/>
              </w:rPr>
            </w:pPr>
            <w:r w:rsidRPr="00EE1CFC">
              <w:rPr>
                <w:rFonts w:ascii="Calibri" w:hAnsi="Calibri" w:cs="Calibri"/>
                <w:b/>
                <w:bCs/>
                <w:i/>
                <w:color w:val="000000"/>
                <w:sz w:val="28"/>
                <w:szCs w:val="28"/>
              </w:rPr>
              <w:t>Academic Vocabulary and Phrases</w:t>
            </w:r>
          </w:p>
        </w:tc>
        <w:tc>
          <w:tcPr>
            <w:tcW w:w="3420" w:type="dxa"/>
          </w:tcPr>
          <w:p w:rsidR="00EE1CFC" w:rsidRPr="00EE1CFC" w:rsidRDefault="00EE1CFC" w:rsidP="00093FE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Tier 1 </w:t>
            </w:r>
          </w:p>
        </w:tc>
        <w:tc>
          <w:tcPr>
            <w:cnfStyle w:val="000010000000" w:firstRow="0" w:lastRow="0" w:firstColumn="0" w:lastColumn="0" w:oddVBand="1" w:evenVBand="0" w:oddHBand="0" w:evenHBand="0" w:firstRowFirstColumn="0" w:firstRowLastColumn="0" w:lastRowFirstColumn="0" w:lastRowLastColumn="0"/>
            <w:tcW w:w="4230" w:type="dxa"/>
          </w:tcPr>
          <w:p w:rsidR="00EE1CFC" w:rsidRPr="00EE1CFC" w:rsidRDefault="00EE1CFC" w:rsidP="00093FE4">
            <w:pPr>
              <w:autoSpaceDE w:val="0"/>
              <w:autoSpaceDN w:val="0"/>
              <w:adjustRightInd w:val="0"/>
              <w:rPr>
                <w:rFonts w:ascii="Calibri" w:hAnsi="Calibri" w:cs="Calibri"/>
                <w:color w:val="000000"/>
                <w:sz w:val="28"/>
                <w:szCs w:val="28"/>
              </w:rPr>
            </w:pPr>
            <w:r w:rsidRPr="00EE1CFC">
              <w:rPr>
                <w:rFonts w:ascii="Calibri" w:hAnsi="Calibri" w:cs="Calibri"/>
                <w:b/>
                <w:bCs/>
                <w:color w:val="000000"/>
                <w:sz w:val="28"/>
                <w:szCs w:val="28"/>
              </w:rPr>
              <w:t xml:space="preserve">Tier 2 </w:t>
            </w:r>
          </w:p>
        </w:tc>
        <w:tc>
          <w:tcPr>
            <w:tcW w:w="5040" w:type="dxa"/>
          </w:tcPr>
          <w:p w:rsidR="00EE1CFC" w:rsidRPr="00EE1CFC" w:rsidRDefault="00EE1CFC" w:rsidP="00093FE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8"/>
                <w:szCs w:val="28"/>
              </w:rPr>
            </w:pPr>
            <w:r w:rsidRPr="00EE1CFC">
              <w:rPr>
                <w:rFonts w:ascii="Calibri" w:hAnsi="Calibri" w:cs="Calibri"/>
                <w:b/>
                <w:bCs/>
                <w:color w:val="000000"/>
                <w:sz w:val="28"/>
                <w:szCs w:val="28"/>
              </w:rPr>
              <w:t xml:space="preserve">Tier 3 </w:t>
            </w:r>
          </w:p>
        </w:tc>
      </w:tr>
      <w:tr w:rsidR="00EE1CFC" w:rsidRPr="00EE1CFC" w:rsidTr="0002321B">
        <w:trPr>
          <w:trHeight w:val="344"/>
        </w:trPr>
        <w:tc>
          <w:tcPr>
            <w:cnfStyle w:val="000010000000" w:firstRow="0" w:lastRow="0" w:firstColumn="0" w:lastColumn="0" w:oddVBand="1" w:evenVBand="0" w:oddHBand="0" w:evenHBand="0" w:firstRowFirstColumn="0" w:firstRowLastColumn="0" w:lastRowFirstColumn="0" w:lastRowLastColumn="0"/>
            <w:tcW w:w="1885" w:type="dxa"/>
            <w:vMerge/>
          </w:tcPr>
          <w:p w:rsidR="00EE1CFC" w:rsidRPr="00EE1CFC" w:rsidRDefault="00EE1CFC" w:rsidP="00093FE4">
            <w:pPr>
              <w:autoSpaceDE w:val="0"/>
              <w:autoSpaceDN w:val="0"/>
              <w:adjustRightInd w:val="0"/>
              <w:rPr>
                <w:rFonts w:ascii="Calibri" w:hAnsi="Calibri" w:cs="Calibri"/>
                <w:i/>
                <w:color w:val="000000"/>
                <w:sz w:val="28"/>
                <w:szCs w:val="28"/>
              </w:rPr>
            </w:pPr>
          </w:p>
        </w:tc>
        <w:tc>
          <w:tcPr>
            <w:tcW w:w="3420" w:type="dxa"/>
          </w:tcPr>
          <w:p w:rsidR="00EE1CFC" w:rsidRPr="00EE1CFC" w:rsidRDefault="00EE1CFC" w:rsidP="00093FE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Read, write, listen, speak, buddy, group, partner, help, find, look for</w:t>
            </w:r>
          </w:p>
        </w:tc>
        <w:tc>
          <w:tcPr>
            <w:cnfStyle w:val="000010000000" w:firstRow="0" w:lastRow="0" w:firstColumn="0" w:lastColumn="0" w:oddVBand="1" w:evenVBand="0" w:oddHBand="0" w:evenHBand="0" w:firstRowFirstColumn="0" w:firstRowLastColumn="0" w:lastRowFirstColumn="0" w:lastRowLastColumn="0"/>
            <w:tcW w:w="4230" w:type="dxa"/>
            <w:shd w:val="clear" w:color="auto" w:fill="FFFFFF" w:themeFill="background1"/>
          </w:tcPr>
          <w:p w:rsidR="00EE1CFC" w:rsidRPr="00EE1CFC" w:rsidRDefault="00EE1CFC" w:rsidP="00093FE4">
            <w:pPr>
              <w:autoSpaceDE w:val="0"/>
              <w:autoSpaceDN w:val="0"/>
              <w:adjustRightInd w:val="0"/>
              <w:rPr>
                <w:rFonts w:ascii="Calibri" w:hAnsi="Calibri" w:cs="Calibri"/>
                <w:color w:val="000000"/>
                <w:sz w:val="28"/>
                <w:szCs w:val="28"/>
              </w:rPr>
            </w:pPr>
            <w:r w:rsidRPr="00EE1CFC">
              <w:rPr>
                <w:rFonts w:ascii="Calibri" w:hAnsi="Calibri" w:cs="Calibri"/>
                <w:color w:val="000000"/>
                <w:sz w:val="28"/>
                <w:szCs w:val="28"/>
              </w:rPr>
              <w:t xml:space="preserve">Background knowledge, glossary, retell, predict, dialogue, use analogy, self-monitor, </w:t>
            </w:r>
            <w:r w:rsidRPr="0002321B">
              <w:rPr>
                <w:rFonts w:ascii="Calibri" w:hAnsi="Calibri" w:cs="Calibri"/>
                <w:color w:val="000000"/>
                <w:sz w:val="28"/>
                <w:szCs w:val="28"/>
                <w:shd w:val="clear" w:color="auto" w:fill="FFFFFF" w:themeFill="background1"/>
              </w:rPr>
              <w:t>cohesive, summarize</w:t>
            </w:r>
          </w:p>
        </w:tc>
        <w:tc>
          <w:tcPr>
            <w:tcW w:w="5040" w:type="dxa"/>
          </w:tcPr>
          <w:p w:rsidR="00EE1CFC" w:rsidRPr="00EE1CFC" w:rsidRDefault="00EE1CFC" w:rsidP="00093FE4">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8"/>
                <w:szCs w:val="28"/>
              </w:rPr>
            </w:pPr>
            <w:r w:rsidRPr="00EE1CFC">
              <w:rPr>
                <w:rFonts w:ascii="Calibri" w:hAnsi="Calibri" w:cs="Calibri"/>
                <w:color w:val="000000"/>
                <w:sz w:val="28"/>
                <w:szCs w:val="28"/>
              </w:rPr>
              <w:t xml:space="preserve">Literary devices, dialect, heart of the story, character’s struggle, figurative language, descriptive clauses </w:t>
            </w:r>
          </w:p>
        </w:tc>
      </w:tr>
    </w:tbl>
    <w:p w:rsidR="00900D81" w:rsidRPr="00900D81" w:rsidRDefault="00900D81" w:rsidP="00900D81">
      <w:pPr>
        <w:rPr>
          <w:rFonts w:ascii="Calibri" w:eastAsia="Calibri" w:hAnsi="Calibri" w:cs="Calibri"/>
          <w:sz w:val="20"/>
          <w:szCs w:val="20"/>
        </w:rPr>
        <w:sectPr w:rsidR="00900D81" w:rsidRPr="00900D81">
          <w:footerReference w:type="default" r:id="rId8"/>
          <w:pgSz w:w="15840" w:h="12240" w:orient="landscape"/>
          <w:pgMar w:top="680" w:right="600" w:bottom="560" w:left="620" w:header="416" w:footer="363" w:gutter="0"/>
          <w:cols w:space="720"/>
        </w:sectPr>
      </w:pPr>
      <w:bookmarkStart w:id="0" w:name="_GoBack"/>
      <w:bookmarkEnd w:id="0"/>
    </w:p>
    <w:p w:rsidR="00900D81" w:rsidRPr="00EE1CFC" w:rsidRDefault="00900D81" w:rsidP="00EE1CFC">
      <w:pPr>
        <w:rPr>
          <w:rFonts w:ascii="Calibri" w:eastAsia="Calibri" w:hAnsi="Calibri" w:cs="Calibri"/>
          <w:sz w:val="20"/>
          <w:szCs w:val="20"/>
        </w:rPr>
        <w:sectPr w:rsidR="00900D81" w:rsidRPr="00EE1CFC">
          <w:pgSz w:w="15840" w:h="12240" w:orient="landscape"/>
          <w:pgMar w:top="680" w:right="600" w:bottom="560" w:left="620" w:header="416" w:footer="363" w:gutter="0"/>
          <w:cols w:space="720"/>
        </w:sectPr>
      </w:pPr>
    </w:p>
    <w:p w:rsidR="00900D81" w:rsidRDefault="00900D81" w:rsidP="00900D81">
      <w:pPr>
        <w:rPr>
          <w:rFonts w:ascii="Calibri" w:eastAsia="Calibri" w:hAnsi="Calibri" w:cs="Calibri"/>
          <w:sz w:val="20"/>
          <w:szCs w:val="20"/>
        </w:rPr>
        <w:sectPr w:rsidR="00900D81">
          <w:pgSz w:w="15840" w:h="12240" w:orient="landscape"/>
          <w:pgMar w:top="680" w:right="600" w:bottom="560" w:left="620" w:header="416" w:footer="363" w:gutter="0"/>
          <w:cols w:space="720"/>
        </w:sectPr>
      </w:pPr>
    </w:p>
    <w:p w:rsidR="00900D81" w:rsidRDefault="00900D81" w:rsidP="00900D81">
      <w:pPr>
        <w:rPr>
          <w:rFonts w:ascii="Calibri" w:eastAsia="Calibri" w:hAnsi="Calibri" w:cs="Calibri"/>
          <w:sz w:val="20"/>
          <w:szCs w:val="20"/>
        </w:rPr>
        <w:sectPr w:rsidR="00900D81">
          <w:pgSz w:w="15840" w:h="12240" w:orient="landscape"/>
          <w:pgMar w:top="680" w:right="600" w:bottom="560" w:left="600" w:header="416" w:footer="363" w:gutter="0"/>
          <w:cols w:space="720"/>
        </w:sectPr>
      </w:pPr>
    </w:p>
    <w:p w:rsidR="001D4461" w:rsidRPr="001D4461" w:rsidRDefault="001D4461" w:rsidP="001D4461"/>
    <w:sectPr w:rsidR="001D4461" w:rsidRPr="001D4461" w:rsidSect="001D446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1D2" w:rsidRDefault="007A21D2" w:rsidP="002E6D51">
      <w:pPr>
        <w:spacing w:after="0" w:line="240" w:lineRule="auto"/>
      </w:pPr>
      <w:r>
        <w:separator/>
      </w:r>
    </w:p>
  </w:endnote>
  <w:endnote w:type="continuationSeparator" w:id="0">
    <w:p w:rsidR="007A21D2" w:rsidRDefault="007A21D2" w:rsidP="002E6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D51" w:rsidRDefault="002E6D51">
    <w:pPr>
      <w:pStyle w:val="Footer"/>
    </w:pPr>
    <w:r>
      <w:rPr>
        <w:noProof/>
        <w:color w:val="5B9BD5" w:themeColor="accent1"/>
      </w:rPr>
      <mc:AlternateContent>
        <mc:Choice Requires="wps">
          <w:drawing>
            <wp:anchor distT="0" distB="0" distL="114300" distR="114300" simplePos="0" relativeHeight="251659264" behindDoc="0" locked="0" layoutInCell="1" allowOverlap="1" wp14:anchorId="4A0AC367" wp14:editId="19F72907">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5="http://schemas.microsoft.com/office/word/2012/wordml">
          <w:pict>
            <v:rect w14:anchorId="123632DA"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pg. </w:t>
    </w:r>
    <w:r>
      <w:rPr>
        <w:rFonts w:eastAsiaTheme="minorEastAsia"/>
        <w:color w:val="5B9BD5" w:themeColor="accent1"/>
        <w:sz w:val="20"/>
        <w:szCs w:val="20"/>
      </w:rPr>
      <w:fldChar w:fldCharType="begin"/>
    </w:r>
    <w:r>
      <w:rPr>
        <w:color w:val="5B9BD5" w:themeColor="accent1"/>
        <w:sz w:val="20"/>
        <w:szCs w:val="20"/>
      </w:rPr>
      <w:instrText xml:space="preserve"> PAGE    \* MERGEFORMAT </w:instrText>
    </w:r>
    <w:r>
      <w:rPr>
        <w:rFonts w:eastAsiaTheme="minorEastAsia"/>
        <w:color w:val="5B9BD5" w:themeColor="accent1"/>
        <w:sz w:val="20"/>
        <w:szCs w:val="20"/>
      </w:rPr>
      <w:fldChar w:fldCharType="separate"/>
    </w:r>
    <w:r w:rsidR="0002321B" w:rsidRPr="0002321B">
      <w:rPr>
        <w:rFonts w:asciiTheme="majorHAnsi" w:eastAsiaTheme="majorEastAsia" w:hAnsiTheme="majorHAnsi" w:cstheme="majorBidi"/>
        <w:noProof/>
        <w:color w:val="5B9BD5" w:themeColor="accent1"/>
        <w:sz w:val="20"/>
        <w:szCs w:val="20"/>
      </w:rPr>
      <w:t>5</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r>
      <w:rPr>
        <w:caps/>
        <w:color w:val="808080" w:themeColor="background1" w:themeShade="80"/>
        <w:sz w:val="18"/>
        <w:szCs w:val="18"/>
      </w:rPr>
      <w:t>the school of science &amp; applied learning   2050 Prospect Avenue Bronx, NY 10457   tel: 718-584-6310    fax: 718-220-1370   www.cs300x.wikispaces.com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1D2" w:rsidRDefault="007A21D2" w:rsidP="002E6D51">
      <w:pPr>
        <w:spacing w:after="0" w:line="240" w:lineRule="auto"/>
      </w:pPr>
      <w:r>
        <w:separator/>
      </w:r>
    </w:p>
  </w:footnote>
  <w:footnote w:type="continuationSeparator" w:id="0">
    <w:p w:rsidR="007A21D2" w:rsidRDefault="007A21D2" w:rsidP="002E6D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B07A8"/>
    <w:multiLevelType w:val="hybridMultilevel"/>
    <w:tmpl w:val="86500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977995"/>
    <w:multiLevelType w:val="hybridMultilevel"/>
    <w:tmpl w:val="2A64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461"/>
    <w:rsid w:val="0002321B"/>
    <w:rsid w:val="001D4461"/>
    <w:rsid w:val="002E6D51"/>
    <w:rsid w:val="00793464"/>
    <w:rsid w:val="007A21D2"/>
    <w:rsid w:val="00900D81"/>
    <w:rsid w:val="00AD2F22"/>
    <w:rsid w:val="00EE1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900D81"/>
    <w:pPr>
      <w:widowControl w:val="0"/>
      <w:spacing w:before="51" w:after="0" w:line="240" w:lineRule="auto"/>
      <w:ind w:left="250"/>
      <w:outlineLvl w:val="0"/>
    </w:pPr>
    <w:rPr>
      <w:rFonts w:ascii="Calibri" w:eastAsia="Calibri" w:hAnsi="Calibri"/>
      <w:b/>
      <w:bCs/>
      <w:sz w:val="24"/>
      <w:szCs w:val="24"/>
    </w:rPr>
  </w:style>
  <w:style w:type="paragraph" w:styleId="Heading2">
    <w:name w:val="heading 2"/>
    <w:basedOn w:val="Normal"/>
    <w:link w:val="Heading2Char"/>
    <w:uiPriority w:val="1"/>
    <w:qFormat/>
    <w:rsid w:val="00900D81"/>
    <w:pPr>
      <w:widowControl w:val="0"/>
      <w:spacing w:after="0" w:line="240" w:lineRule="auto"/>
      <w:ind w:left="20"/>
      <w:outlineLvl w:val="1"/>
    </w:pPr>
    <w:rPr>
      <w:rFonts w:ascii="Calibri" w:eastAsia="Calibri" w:hAnsi="Calibr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D446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4461"/>
    <w:rPr>
      <w:rFonts w:asciiTheme="majorHAnsi" w:eastAsiaTheme="majorEastAsia" w:hAnsiTheme="majorHAnsi" w:cstheme="majorBidi"/>
      <w:spacing w:val="-10"/>
      <w:kern w:val="28"/>
      <w:sz w:val="56"/>
      <w:szCs w:val="56"/>
    </w:rPr>
  </w:style>
  <w:style w:type="paragraph" w:customStyle="1" w:styleId="Default">
    <w:name w:val="Default"/>
    <w:rsid w:val="001D4461"/>
    <w:pPr>
      <w:autoSpaceDE w:val="0"/>
      <w:autoSpaceDN w:val="0"/>
      <w:adjustRightInd w:val="0"/>
      <w:spacing w:after="0" w:line="240" w:lineRule="auto"/>
    </w:pPr>
    <w:rPr>
      <w:rFonts w:ascii="Calibri" w:hAnsi="Calibri" w:cs="Calibri"/>
      <w:color w:val="000000"/>
      <w:sz w:val="24"/>
      <w:szCs w:val="24"/>
    </w:rPr>
  </w:style>
  <w:style w:type="table" w:customStyle="1" w:styleId="GridTable3">
    <w:name w:val="Grid Table 3"/>
    <w:basedOn w:val="TableNormal"/>
    <w:uiPriority w:val="48"/>
    <w:rsid w:val="001D446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ListParagraph">
    <w:name w:val="List Paragraph"/>
    <w:basedOn w:val="Normal"/>
    <w:uiPriority w:val="1"/>
    <w:qFormat/>
    <w:rsid w:val="00900D81"/>
    <w:pPr>
      <w:ind w:left="720"/>
      <w:contextualSpacing/>
    </w:pPr>
  </w:style>
  <w:style w:type="character" w:customStyle="1" w:styleId="Heading1Char">
    <w:name w:val="Heading 1 Char"/>
    <w:basedOn w:val="DefaultParagraphFont"/>
    <w:link w:val="Heading1"/>
    <w:uiPriority w:val="1"/>
    <w:rsid w:val="00900D81"/>
    <w:rPr>
      <w:rFonts w:ascii="Calibri" w:eastAsia="Calibri" w:hAnsi="Calibri"/>
      <w:b/>
      <w:bCs/>
      <w:sz w:val="24"/>
      <w:szCs w:val="24"/>
    </w:rPr>
  </w:style>
  <w:style w:type="character" w:customStyle="1" w:styleId="Heading2Char">
    <w:name w:val="Heading 2 Char"/>
    <w:basedOn w:val="DefaultParagraphFont"/>
    <w:link w:val="Heading2"/>
    <w:uiPriority w:val="1"/>
    <w:rsid w:val="00900D81"/>
    <w:rPr>
      <w:rFonts w:ascii="Calibri" w:eastAsia="Calibri" w:hAnsi="Calibri"/>
      <w:b/>
      <w:bCs/>
      <w:sz w:val="20"/>
      <w:szCs w:val="20"/>
    </w:rPr>
  </w:style>
  <w:style w:type="paragraph" w:styleId="BodyText">
    <w:name w:val="Body Text"/>
    <w:basedOn w:val="Normal"/>
    <w:link w:val="BodyTextChar"/>
    <w:uiPriority w:val="1"/>
    <w:qFormat/>
    <w:rsid w:val="00900D81"/>
    <w:pPr>
      <w:widowControl w:val="0"/>
      <w:spacing w:after="0" w:line="240" w:lineRule="auto"/>
      <w:ind w:left="253" w:hanging="144"/>
    </w:pPr>
    <w:rPr>
      <w:rFonts w:ascii="Calibri" w:eastAsia="Calibri" w:hAnsi="Calibri"/>
      <w:sz w:val="20"/>
      <w:szCs w:val="20"/>
    </w:rPr>
  </w:style>
  <w:style w:type="character" w:customStyle="1" w:styleId="BodyTextChar">
    <w:name w:val="Body Text Char"/>
    <w:basedOn w:val="DefaultParagraphFont"/>
    <w:link w:val="BodyText"/>
    <w:uiPriority w:val="1"/>
    <w:rsid w:val="00900D81"/>
    <w:rPr>
      <w:rFonts w:ascii="Calibri" w:eastAsia="Calibri" w:hAnsi="Calibri"/>
      <w:sz w:val="20"/>
      <w:szCs w:val="20"/>
    </w:rPr>
  </w:style>
  <w:style w:type="paragraph" w:customStyle="1" w:styleId="TableParagraph">
    <w:name w:val="Table Paragraph"/>
    <w:basedOn w:val="Normal"/>
    <w:uiPriority w:val="1"/>
    <w:qFormat/>
    <w:rsid w:val="00900D81"/>
    <w:pPr>
      <w:widowControl w:val="0"/>
      <w:spacing w:after="0" w:line="240" w:lineRule="auto"/>
    </w:pPr>
  </w:style>
  <w:style w:type="paragraph" w:styleId="Header">
    <w:name w:val="header"/>
    <w:basedOn w:val="Normal"/>
    <w:link w:val="HeaderChar"/>
    <w:uiPriority w:val="99"/>
    <w:unhideWhenUsed/>
    <w:rsid w:val="002E6D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D51"/>
  </w:style>
  <w:style w:type="paragraph" w:styleId="Footer">
    <w:name w:val="footer"/>
    <w:basedOn w:val="Normal"/>
    <w:link w:val="FooterChar"/>
    <w:uiPriority w:val="99"/>
    <w:unhideWhenUsed/>
    <w:rsid w:val="002E6D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D51"/>
  </w:style>
  <w:style w:type="paragraph" w:styleId="BalloonText">
    <w:name w:val="Balloon Text"/>
    <w:basedOn w:val="Normal"/>
    <w:link w:val="BalloonTextChar"/>
    <w:uiPriority w:val="99"/>
    <w:semiHidden/>
    <w:unhideWhenUsed/>
    <w:rsid w:val="000232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2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900D81"/>
    <w:pPr>
      <w:widowControl w:val="0"/>
      <w:spacing w:before="51" w:after="0" w:line="240" w:lineRule="auto"/>
      <w:ind w:left="250"/>
      <w:outlineLvl w:val="0"/>
    </w:pPr>
    <w:rPr>
      <w:rFonts w:ascii="Calibri" w:eastAsia="Calibri" w:hAnsi="Calibri"/>
      <w:b/>
      <w:bCs/>
      <w:sz w:val="24"/>
      <w:szCs w:val="24"/>
    </w:rPr>
  </w:style>
  <w:style w:type="paragraph" w:styleId="Heading2">
    <w:name w:val="heading 2"/>
    <w:basedOn w:val="Normal"/>
    <w:link w:val="Heading2Char"/>
    <w:uiPriority w:val="1"/>
    <w:qFormat/>
    <w:rsid w:val="00900D81"/>
    <w:pPr>
      <w:widowControl w:val="0"/>
      <w:spacing w:after="0" w:line="240" w:lineRule="auto"/>
      <w:ind w:left="20"/>
      <w:outlineLvl w:val="1"/>
    </w:pPr>
    <w:rPr>
      <w:rFonts w:ascii="Calibri" w:eastAsia="Calibri" w:hAnsi="Calibr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D446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4461"/>
    <w:rPr>
      <w:rFonts w:asciiTheme="majorHAnsi" w:eastAsiaTheme="majorEastAsia" w:hAnsiTheme="majorHAnsi" w:cstheme="majorBidi"/>
      <w:spacing w:val="-10"/>
      <w:kern w:val="28"/>
      <w:sz w:val="56"/>
      <w:szCs w:val="56"/>
    </w:rPr>
  </w:style>
  <w:style w:type="paragraph" w:customStyle="1" w:styleId="Default">
    <w:name w:val="Default"/>
    <w:rsid w:val="001D4461"/>
    <w:pPr>
      <w:autoSpaceDE w:val="0"/>
      <w:autoSpaceDN w:val="0"/>
      <w:adjustRightInd w:val="0"/>
      <w:spacing w:after="0" w:line="240" w:lineRule="auto"/>
    </w:pPr>
    <w:rPr>
      <w:rFonts w:ascii="Calibri" w:hAnsi="Calibri" w:cs="Calibri"/>
      <w:color w:val="000000"/>
      <w:sz w:val="24"/>
      <w:szCs w:val="24"/>
    </w:rPr>
  </w:style>
  <w:style w:type="table" w:customStyle="1" w:styleId="GridTable3">
    <w:name w:val="Grid Table 3"/>
    <w:basedOn w:val="TableNormal"/>
    <w:uiPriority w:val="48"/>
    <w:rsid w:val="001D446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ListParagraph">
    <w:name w:val="List Paragraph"/>
    <w:basedOn w:val="Normal"/>
    <w:uiPriority w:val="1"/>
    <w:qFormat/>
    <w:rsid w:val="00900D81"/>
    <w:pPr>
      <w:ind w:left="720"/>
      <w:contextualSpacing/>
    </w:pPr>
  </w:style>
  <w:style w:type="character" w:customStyle="1" w:styleId="Heading1Char">
    <w:name w:val="Heading 1 Char"/>
    <w:basedOn w:val="DefaultParagraphFont"/>
    <w:link w:val="Heading1"/>
    <w:uiPriority w:val="1"/>
    <w:rsid w:val="00900D81"/>
    <w:rPr>
      <w:rFonts w:ascii="Calibri" w:eastAsia="Calibri" w:hAnsi="Calibri"/>
      <w:b/>
      <w:bCs/>
      <w:sz w:val="24"/>
      <w:szCs w:val="24"/>
    </w:rPr>
  </w:style>
  <w:style w:type="character" w:customStyle="1" w:styleId="Heading2Char">
    <w:name w:val="Heading 2 Char"/>
    <w:basedOn w:val="DefaultParagraphFont"/>
    <w:link w:val="Heading2"/>
    <w:uiPriority w:val="1"/>
    <w:rsid w:val="00900D81"/>
    <w:rPr>
      <w:rFonts w:ascii="Calibri" w:eastAsia="Calibri" w:hAnsi="Calibri"/>
      <w:b/>
      <w:bCs/>
      <w:sz w:val="20"/>
      <w:szCs w:val="20"/>
    </w:rPr>
  </w:style>
  <w:style w:type="paragraph" w:styleId="BodyText">
    <w:name w:val="Body Text"/>
    <w:basedOn w:val="Normal"/>
    <w:link w:val="BodyTextChar"/>
    <w:uiPriority w:val="1"/>
    <w:qFormat/>
    <w:rsid w:val="00900D81"/>
    <w:pPr>
      <w:widowControl w:val="0"/>
      <w:spacing w:after="0" w:line="240" w:lineRule="auto"/>
      <w:ind w:left="253" w:hanging="144"/>
    </w:pPr>
    <w:rPr>
      <w:rFonts w:ascii="Calibri" w:eastAsia="Calibri" w:hAnsi="Calibri"/>
      <w:sz w:val="20"/>
      <w:szCs w:val="20"/>
    </w:rPr>
  </w:style>
  <w:style w:type="character" w:customStyle="1" w:styleId="BodyTextChar">
    <w:name w:val="Body Text Char"/>
    <w:basedOn w:val="DefaultParagraphFont"/>
    <w:link w:val="BodyText"/>
    <w:uiPriority w:val="1"/>
    <w:rsid w:val="00900D81"/>
    <w:rPr>
      <w:rFonts w:ascii="Calibri" w:eastAsia="Calibri" w:hAnsi="Calibri"/>
      <w:sz w:val="20"/>
      <w:szCs w:val="20"/>
    </w:rPr>
  </w:style>
  <w:style w:type="paragraph" w:customStyle="1" w:styleId="TableParagraph">
    <w:name w:val="Table Paragraph"/>
    <w:basedOn w:val="Normal"/>
    <w:uiPriority w:val="1"/>
    <w:qFormat/>
    <w:rsid w:val="00900D81"/>
    <w:pPr>
      <w:widowControl w:val="0"/>
      <w:spacing w:after="0" w:line="240" w:lineRule="auto"/>
    </w:pPr>
  </w:style>
  <w:style w:type="paragraph" w:styleId="Header">
    <w:name w:val="header"/>
    <w:basedOn w:val="Normal"/>
    <w:link w:val="HeaderChar"/>
    <w:uiPriority w:val="99"/>
    <w:unhideWhenUsed/>
    <w:rsid w:val="002E6D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D51"/>
  </w:style>
  <w:style w:type="paragraph" w:styleId="Footer">
    <w:name w:val="footer"/>
    <w:basedOn w:val="Normal"/>
    <w:link w:val="FooterChar"/>
    <w:uiPriority w:val="99"/>
    <w:unhideWhenUsed/>
    <w:rsid w:val="002E6D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D51"/>
  </w:style>
  <w:style w:type="paragraph" w:styleId="BalloonText">
    <w:name w:val="Balloon Text"/>
    <w:basedOn w:val="Normal"/>
    <w:link w:val="BalloonTextChar"/>
    <w:uiPriority w:val="99"/>
    <w:semiHidden/>
    <w:unhideWhenUsed/>
    <w:rsid w:val="000232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2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Foti208</cp:lastModifiedBy>
  <cp:revision>3</cp:revision>
  <cp:lastPrinted>2014-06-18T13:29:00Z</cp:lastPrinted>
  <dcterms:created xsi:type="dcterms:W3CDTF">2014-06-17T22:25:00Z</dcterms:created>
  <dcterms:modified xsi:type="dcterms:W3CDTF">2014-06-18T13:29:00Z</dcterms:modified>
</cp:coreProperties>
</file>